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BAA1E" w14:textId="77777777" w:rsidR="00EC6DC4" w:rsidRDefault="006C2E3D">
      <w:pPr>
        <w:spacing w:before="255" w:line="273" w:lineRule="exact"/>
        <w:jc w:val="center"/>
        <w:textAlignment w:val="baseline"/>
        <w:rPr>
          <w:rFonts w:eastAsia="Times New Roman"/>
          <w:b/>
          <w:color w:val="000000"/>
          <w:sz w:val="24"/>
        </w:rPr>
      </w:pPr>
      <w:r>
        <w:rPr>
          <w:rFonts w:eastAsia="Times New Roman"/>
          <w:b/>
          <w:color w:val="000000"/>
          <w:sz w:val="24"/>
        </w:rPr>
        <w:t>SCHOOL ADMISSIONS</w:t>
      </w:r>
    </w:p>
    <w:p w14:paraId="444A2AC6" w14:textId="77777777" w:rsidR="00EC6DC4" w:rsidRDefault="006C2E3D">
      <w:pPr>
        <w:tabs>
          <w:tab w:val="left" w:pos="1440"/>
        </w:tabs>
        <w:spacing w:before="240" w:line="273" w:lineRule="exact"/>
        <w:textAlignment w:val="baseline"/>
        <w:rPr>
          <w:rFonts w:eastAsia="Times New Roman"/>
          <w:b/>
          <w:color w:val="000000"/>
          <w:sz w:val="24"/>
        </w:rPr>
      </w:pPr>
      <w:r>
        <w:rPr>
          <w:rFonts w:eastAsia="Times New Roman"/>
          <w:b/>
          <w:color w:val="000000"/>
          <w:sz w:val="24"/>
        </w:rPr>
        <w:t>Section 1.</w:t>
      </w:r>
      <w:r>
        <w:rPr>
          <w:rFonts w:eastAsia="Times New Roman"/>
          <w:b/>
          <w:color w:val="000000"/>
          <w:sz w:val="24"/>
        </w:rPr>
        <w:tab/>
        <w:t>Admissions</w:t>
      </w:r>
    </w:p>
    <w:p w14:paraId="6C57BABB" w14:textId="488CC4F9" w:rsidR="00EC6DC4" w:rsidRDefault="006C2E3D">
      <w:pPr>
        <w:spacing w:before="252" w:line="275" w:lineRule="exact"/>
        <w:textAlignment w:val="baseline"/>
        <w:rPr>
          <w:rFonts w:eastAsia="Times New Roman"/>
          <w:b/>
          <w:color w:val="000000"/>
          <w:sz w:val="24"/>
        </w:rPr>
      </w:pPr>
      <w:r>
        <w:rPr>
          <w:rFonts w:eastAsia="Times New Roman"/>
          <w:b/>
          <w:color w:val="000000"/>
          <w:sz w:val="24"/>
        </w:rPr>
        <w:t xml:space="preserve">Section 1.1 </w:t>
      </w:r>
      <w:r>
        <w:rPr>
          <w:rFonts w:eastAsia="Times New Roman"/>
          <w:color w:val="000000"/>
          <w:sz w:val="24"/>
        </w:rPr>
        <w:t>Hawthorn Leadership School for Girls shall enroll only students who reside in the St. Louis Public School District, nonresident students who transfer from an unaccredited district as permitted under applicable Missouri law, or students eligible through the Voluntary Inter-district Choice Corporation (VICC) program. Hawthorn does not limit admission based on race, ethnicity, national origin, disability, income level, religious affiliation, proficiency in the English language or athletic ability, but may limit admission to students within a given age group or grade level. Hawthorn is a single-school local educational agency operating as a single-sex charter school as permitted by law.</w:t>
      </w:r>
      <w:r w:rsidR="00153F2C">
        <w:rPr>
          <w:rFonts w:eastAsia="Times New Roman"/>
          <w:color w:val="000000"/>
          <w:sz w:val="24"/>
        </w:rPr>
        <w:t xml:space="preserve">  </w:t>
      </w:r>
    </w:p>
    <w:p w14:paraId="7CA378BD" w14:textId="35FBC3CC" w:rsidR="00EC6DC4" w:rsidRDefault="006C2E3D">
      <w:pPr>
        <w:tabs>
          <w:tab w:val="left" w:pos="1440"/>
        </w:tabs>
        <w:spacing w:before="237" w:line="277" w:lineRule="exact"/>
        <w:textAlignment w:val="baseline"/>
        <w:rPr>
          <w:rFonts w:eastAsia="Times New Roman"/>
          <w:b/>
          <w:color w:val="000000"/>
          <w:sz w:val="24"/>
        </w:rPr>
      </w:pPr>
      <w:r>
        <w:rPr>
          <w:rFonts w:eastAsia="Times New Roman"/>
          <w:b/>
          <w:color w:val="000000"/>
          <w:sz w:val="24"/>
        </w:rPr>
        <w:t>Section 1.2</w:t>
      </w:r>
      <w:r>
        <w:rPr>
          <w:rFonts w:eastAsia="Times New Roman"/>
          <w:b/>
          <w:color w:val="000000"/>
          <w:sz w:val="24"/>
        </w:rPr>
        <w:tab/>
      </w:r>
      <w:r>
        <w:rPr>
          <w:rFonts w:eastAsia="Times New Roman"/>
          <w:color w:val="000000"/>
          <w:sz w:val="24"/>
        </w:rPr>
        <w:t>Hawthorn will host up to three enrollment sessions each year. Following those enrollment sessions, the school may elect to continue to enroll students through an open enrollment session on a first come</w:t>
      </w:r>
      <w:r w:rsidR="00E84CB9">
        <w:rPr>
          <w:rFonts w:eastAsia="Times New Roman"/>
          <w:color w:val="000000"/>
          <w:sz w:val="24"/>
        </w:rPr>
        <w:t xml:space="preserve"> first served basis.</w:t>
      </w:r>
      <w:r>
        <w:rPr>
          <w:rFonts w:eastAsia="Times New Roman"/>
          <w:color w:val="000000"/>
          <w:sz w:val="24"/>
        </w:rPr>
        <w:t xml:space="preserve"> Students who are eligible to attend through the VICC program are only eligible to enroll during the third enrollment session, if a third enrollment session is held, or during the open enrollment period.</w:t>
      </w:r>
    </w:p>
    <w:p w14:paraId="265BDE93" w14:textId="77777777" w:rsidR="00EC6DC4" w:rsidRDefault="006C2E3D">
      <w:pPr>
        <w:spacing w:before="274" w:line="276" w:lineRule="exact"/>
        <w:textAlignment w:val="baseline"/>
        <w:rPr>
          <w:rFonts w:eastAsia="Times New Roman"/>
          <w:b/>
          <w:color w:val="000000"/>
          <w:sz w:val="24"/>
        </w:rPr>
      </w:pPr>
      <w:r>
        <w:rPr>
          <w:rFonts w:eastAsia="Times New Roman"/>
          <w:b/>
          <w:color w:val="000000"/>
          <w:sz w:val="24"/>
        </w:rPr>
        <w:t xml:space="preserve">Section 1.3 </w:t>
      </w:r>
      <w:r>
        <w:rPr>
          <w:rFonts w:eastAsia="Times New Roman"/>
          <w:color w:val="000000"/>
          <w:sz w:val="24"/>
        </w:rPr>
        <w:t>In the first and second enrollment sessions, preference will be given to students in the following order: (1) children of Hawthorn employees who reside in the St. Louis Public School District or in an unaccredited district whose students are permitted to attend Hawthorn under applicable Missouri law; (2) siblings of students previously enrolled in Hawthorn; and (3) students who reside in the St. Louis Public School District or in an unaccredited district whose students are permitted to attend Hawthorn under applicable Missouri law.</w:t>
      </w:r>
    </w:p>
    <w:p w14:paraId="2D76873E" w14:textId="77777777" w:rsidR="00EC6DC4" w:rsidRDefault="006C2E3D">
      <w:pPr>
        <w:spacing w:before="278" w:line="276" w:lineRule="exact"/>
        <w:textAlignment w:val="baseline"/>
        <w:rPr>
          <w:rFonts w:eastAsia="Times New Roman"/>
          <w:b/>
          <w:color w:val="000000"/>
          <w:sz w:val="24"/>
        </w:rPr>
      </w:pPr>
      <w:r>
        <w:rPr>
          <w:rFonts w:eastAsia="Times New Roman"/>
          <w:b/>
          <w:color w:val="000000"/>
          <w:sz w:val="24"/>
        </w:rPr>
        <w:t xml:space="preserve">Section 1.4 </w:t>
      </w:r>
      <w:r>
        <w:rPr>
          <w:rFonts w:eastAsia="Times New Roman"/>
          <w:color w:val="000000"/>
          <w:sz w:val="24"/>
        </w:rPr>
        <w:t>During the third enrollment session, if any, preference will be given to students in the following order: (1) children of Hawthorn employees who reside in the St. Louis Public School District or in an unaccredited district whose students are permitted to attend Hawthorn under applicable Missouri law; (2) siblings of students previously enrolled in Hawthorn; (3) students who reside in the St. Louis Public School District or in an unaccredited district whose students are permitted to attend Hawthorn under applicable Missouri law; (4) children of Hawthorn employees who are eligible to attend through the VICC program; and (5) students who are eligible to attend through the VICC program.</w:t>
      </w:r>
    </w:p>
    <w:p w14:paraId="372F2732" w14:textId="77777777" w:rsidR="00EC6DC4" w:rsidRDefault="006C2E3D">
      <w:pPr>
        <w:spacing w:before="277" w:line="275" w:lineRule="exact"/>
        <w:ind w:right="144"/>
        <w:textAlignment w:val="baseline"/>
        <w:rPr>
          <w:rFonts w:eastAsia="Times New Roman"/>
          <w:b/>
          <w:color w:val="000000"/>
          <w:sz w:val="24"/>
        </w:rPr>
      </w:pPr>
      <w:r>
        <w:rPr>
          <w:rFonts w:eastAsia="Times New Roman"/>
          <w:b/>
          <w:color w:val="000000"/>
          <w:sz w:val="24"/>
        </w:rPr>
        <w:t xml:space="preserve">Section 1.5 </w:t>
      </w:r>
      <w:r>
        <w:rPr>
          <w:rFonts w:eastAsia="Times New Roman"/>
          <w:color w:val="000000"/>
          <w:sz w:val="24"/>
        </w:rPr>
        <w:t>The Board may elect to apply the enrollment preferences for the third enrollment session to the second enrollment session, after considering the enrollment numbers resulting from the first enrollment session. If the Board makes that election, students who are eligible to attend through the VICC program would be eligible to enroll during the second enrollment session, subject to the preferences set forth in section 1.4.</w:t>
      </w:r>
    </w:p>
    <w:p w14:paraId="26FF828E" w14:textId="77777777" w:rsidR="00EC6DC4" w:rsidRDefault="006C2E3D">
      <w:pPr>
        <w:spacing w:before="281" w:line="275" w:lineRule="exact"/>
        <w:textAlignment w:val="baseline"/>
        <w:rPr>
          <w:rFonts w:eastAsia="Times New Roman"/>
          <w:b/>
          <w:color w:val="000000"/>
          <w:sz w:val="24"/>
        </w:rPr>
      </w:pPr>
      <w:r>
        <w:rPr>
          <w:rFonts w:eastAsia="Times New Roman"/>
          <w:b/>
          <w:color w:val="000000"/>
          <w:sz w:val="24"/>
        </w:rPr>
        <w:t xml:space="preserve">Section 1.6 </w:t>
      </w:r>
      <w:r>
        <w:rPr>
          <w:rFonts w:eastAsia="Times New Roman"/>
          <w:color w:val="000000"/>
          <w:sz w:val="24"/>
        </w:rPr>
        <w:t>During each enrollment session, if more students have registered than there are available seats, a lottery will be used to determine which students are accepted with the preferences set forth above being taken into consideration in administering the lottery. Using the lottery system, Hawthorn will create a numbered waiting list for those students who are not admitted and will draw students from that list, in numerical order, as seats become available.</w:t>
      </w:r>
    </w:p>
    <w:p w14:paraId="33404FD0" w14:textId="77777777" w:rsidR="00EC6DC4" w:rsidRDefault="00EC6DC4">
      <w:pPr>
        <w:sectPr w:rsidR="00EC6DC4" w:rsidSect="00D241F0">
          <w:pgSz w:w="12240" w:h="15840"/>
          <w:pgMar w:top="1440" w:right="1440" w:bottom="1440" w:left="1440" w:header="720" w:footer="720" w:gutter="0"/>
          <w:cols w:space="720"/>
          <w:docGrid w:linePitch="299"/>
        </w:sectPr>
      </w:pPr>
    </w:p>
    <w:p w14:paraId="4542AA51" w14:textId="491A23FA" w:rsidR="00EC6DC4" w:rsidRDefault="006C2E3D">
      <w:pPr>
        <w:spacing w:before="4" w:line="276" w:lineRule="exact"/>
        <w:ind w:right="144"/>
        <w:textAlignment w:val="baseline"/>
        <w:rPr>
          <w:rFonts w:eastAsia="Times New Roman"/>
          <w:b/>
          <w:color w:val="000000"/>
          <w:sz w:val="24"/>
        </w:rPr>
      </w:pPr>
      <w:r>
        <w:rPr>
          <w:rFonts w:eastAsia="Times New Roman"/>
          <w:b/>
          <w:color w:val="000000"/>
          <w:sz w:val="24"/>
        </w:rPr>
        <w:lastRenderedPageBreak/>
        <w:t xml:space="preserve">Section 1.7 </w:t>
      </w:r>
      <w:r>
        <w:rPr>
          <w:rFonts w:eastAsia="Times New Roman"/>
          <w:color w:val="000000"/>
          <w:sz w:val="24"/>
        </w:rPr>
        <w:t xml:space="preserve">If there are seats available after the third enrollment session, eligible students may be enrolled on a space-available basis (as provided in Section 1.8). </w:t>
      </w:r>
    </w:p>
    <w:p w14:paraId="119BDFD8" w14:textId="77777777" w:rsidR="002638F2" w:rsidRDefault="006C2E3D">
      <w:pPr>
        <w:spacing w:before="281" w:line="276" w:lineRule="exact"/>
        <w:ind w:right="144"/>
        <w:textAlignment w:val="baseline"/>
        <w:rPr>
          <w:rFonts w:eastAsia="Times New Roman"/>
          <w:color w:val="000000"/>
          <w:spacing w:val="-1"/>
          <w:sz w:val="24"/>
        </w:rPr>
      </w:pPr>
      <w:r>
        <w:rPr>
          <w:rFonts w:eastAsia="Times New Roman"/>
          <w:b/>
          <w:color w:val="000000"/>
          <w:spacing w:val="-1"/>
          <w:sz w:val="24"/>
        </w:rPr>
        <w:t xml:space="preserve">Section </w:t>
      </w:r>
      <w:proofErr w:type="gramStart"/>
      <w:r>
        <w:rPr>
          <w:rFonts w:eastAsia="Times New Roman"/>
          <w:b/>
          <w:color w:val="000000"/>
          <w:spacing w:val="-1"/>
          <w:sz w:val="24"/>
        </w:rPr>
        <w:t xml:space="preserve">1.8 </w:t>
      </w:r>
      <w:r w:rsidR="00153F2C">
        <w:rPr>
          <w:rFonts w:eastAsia="Times New Roman"/>
          <w:b/>
          <w:color w:val="000000"/>
          <w:spacing w:val="-1"/>
          <w:sz w:val="24"/>
        </w:rPr>
        <w:t xml:space="preserve"> </w:t>
      </w:r>
      <w:r w:rsidR="00153F2C">
        <w:rPr>
          <w:rFonts w:eastAsia="Times New Roman"/>
          <w:color w:val="000000"/>
          <w:spacing w:val="-1"/>
          <w:sz w:val="24"/>
        </w:rPr>
        <w:t>Hawthorn</w:t>
      </w:r>
      <w:proofErr w:type="gramEnd"/>
      <w:r w:rsidR="00153F2C">
        <w:rPr>
          <w:rFonts w:eastAsia="Times New Roman"/>
          <w:color w:val="000000"/>
          <w:spacing w:val="-1"/>
          <w:sz w:val="24"/>
        </w:rPr>
        <w:t xml:space="preserve"> enrolls students for 6</w:t>
      </w:r>
      <w:r w:rsidR="00153F2C" w:rsidRPr="00315738">
        <w:rPr>
          <w:rFonts w:eastAsia="Times New Roman"/>
          <w:color w:val="000000"/>
          <w:spacing w:val="-1"/>
          <w:sz w:val="24"/>
          <w:vertAlign w:val="superscript"/>
        </w:rPr>
        <w:t>th</w:t>
      </w:r>
      <w:r w:rsidR="00153F2C">
        <w:rPr>
          <w:rFonts w:eastAsia="Times New Roman"/>
          <w:color w:val="000000"/>
          <w:spacing w:val="-1"/>
          <w:sz w:val="24"/>
        </w:rPr>
        <w:t xml:space="preserve"> through 12</w:t>
      </w:r>
      <w:r w:rsidR="00153F2C" w:rsidRPr="00E452E3">
        <w:rPr>
          <w:rFonts w:eastAsia="Times New Roman"/>
          <w:color w:val="000000"/>
          <w:spacing w:val="-1"/>
          <w:sz w:val="24"/>
          <w:vertAlign w:val="superscript"/>
        </w:rPr>
        <w:t>th</w:t>
      </w:r>
      <w:r w:rsidR="00153F2C">
        <w:rPr>
          <w:rFonts w:eastAsia="Times New Roman"/>
          <w:color w:val="000000"/>
          <w:spacing w:val="-1"/>
          <w:sz w:val="24"/>
        </w:rPr>
        <w:t xml:space="preserve"> </w:t>
      </w:r>
      <w:r>
        <w:rPr>
          <w:rFonts w:eastAsia="Times New Roman"/>
          <w:color w:val="000000"/>
          <w:spacing w:val="-1"/>
          <w:sz w:val="24"/>
        </w:rPr>
        <w:t>grades</w:t>
      </w:r>
      <w:r w:rsidR="00A76E18">
        <w:rPr>
          <w:rFonts w:eastAsia="Times New Roman"/>
          <w:color w:val="000000"/>
          <w:spacing w:val="-1"/>
          <w:sz w:val="24"/>
        </w:rPr>
        <w:t xml:space="preserve"> on a space available basis</w:t>
      </w:r>
      <w:r w:rsidR="00153F2C">
        <w:rPr>
          <w:rFonts w:eastAsia="Times New Roman"/>
          <w:color w:val="000000"/>
          <w:spacing w:val="-1"/>
          <w:sz w:val="24"/>
        </w:rPr>
        <w:t xml:space="preserve"> up to the number of students per grade established from time to time by the Head of School and approved by the Board. </w:t>
      </w:r>
    </w:p>
    <w:p w14:paraId="298CB168" w14:textId="07A7F899" w:rsidR="00EC6DC4" w:rsidRDefault="002638F2">
      <w:pPr>
        <w:spacing w:before="281" w:line="276" w:lineRule="exact"/>
        <w:ind w:right="144"/>
        <w:textAlignment w:val="baseline"/>
        <w:rPr>
          <w:rFonts w:eastAsia="Times New Roman"/>
          <w:b/>
          <w:color w:val="000000"/>
          <w:spacing w:val="-1"/>
          <w:sz w:val="24"/>
        </w:rPr>
      </w:pPr>
      <w:r w:rsidRPr="002638F2">
        <w:rPr>
          <w:rFonts w:eastAsia="Times New Roman"/>
          <w:b/>
          <w:bCs/>
          <w:color w:val="000000"/>
          <w:spacing w:val="-1"/>
          <w:sz w:val="24"/>
        </w:rPr>
        <w:t>Section 1.9</w:t>
      </w:r>
      <w:r>
        <w:rPr>
          <w:rFonts w:eastAsia="Times New Roman"/>
          <w:color w:val="000000"/>
          <w:spacing w:val="-1"/>
          <w:sz w:val="24"/>
        </w:rPr>
        <w:t xml:space="preserve">  </w:t>
      </w:r>
      <w:r w:rsidR="006C2E3D">
        <w:rPr>
          <w:rFonts w:eastAsia="Times New Roman"/>
          <w:color w:val="000000"/>
          <w:spacing w:val="-1"/>
          <w:sz w:val="24"/>
        </w:rPr>
        <w:t>Students who begin the school year at Hawthorn and are students at the school for six weeks or more and who leave the school during the school year will be able to reenroll during that school year regardless of whether enrollment has closed for that school year, provided they left in good standing and meet the other admissions criteria.</w:t>
      </w:r>
    </w:p>
    <w:p w14:paraId="157E9D4E" w14:textId="77777777" w:rsidR="00EC6DC4" w:rsidRDefault="006C2E3D">
      <w:pPr>
        <w:tabs>
          <w:tab w:val="left" w:pos="1440"/>
        </w:tabs>
        <w:spacing w:before="477" w:line="273" w:lineRule="exact"/>
        <w:textAlignment w:val="baseline"/>
        <w:rPr>
          <w:rFonts w:eastAsia="Times New Roman"/>
          <w:b/>
          <w:color w:val="000000"/>
          <w:sz w:val="24"/>
        </w:rPr>
      </w:pPr>
      <w:r>
        <w:rPr>
          <w:rFonts w:eastAsia="Times New Roman"/>
          <w:b/>
          <w:color w:val="000000"/>
          <w:sz w:val="24"/>
        </w:rPr>
        <w:t>Section 2.</w:t>
      </w:r>
      <w:r>
        <w:rPr>
          <w:rFonts w:eastAsia="Times New Roman"/>
          <w:b/>
          <w:color w:val="000000"/>
          <w:sz w:val="24"/>
        </w:rPr>
        <w:tab/>
        <w:t>Registration</w:t>
      </w:r>
    </w:p>
    <w:p w14:paraId="3565677E" w14:textId="77777777" w:rsidR="00EC6DC4" w:rsidRDefault="006C2E3D">
      <w:pPr>
        <w:spacing w:before="102" w:line="276" w:lineRule="exact"/>
        <w:ind w:right="144"/>
        <w:textAlignment w:val="baseline"/>
        <w:rPr>
          <w:rFonts w:eastAsia="Times New Roman"/>
          <w:b/>
          <w:color w:val="000000"/>
          <w:sz w:val="24"/>
        </w:rPr>
      </w:pPr>
      <w:r>
        <w:rPr>
          <w:rFonts w:eastAsia="Times New Roman"/>
          <w:b/>
          <w:color w:val="000000"/>
          <w:sz w:val="24"/>
        </w:rPr>
        <w:t xml:space="preserve">Section 2.1 </w:t>
      </w:r>
      <w:r>
        <w:rPr>
          <w:rFonts w:eastAsia="Times New Roman"/>
          <w:color w:val="000000"/>
          <w:sz w:val="24"/>
        </w:rPr>
        <w:t>All prospective students must submit the following documents to the Principal or designee in order to comply with Hawthorn’s registration requirements regardless of date of enrollment:</w:t>
      </w:r>
    </w:p>
    <w:p w14:paraId="0E40226B" w14:textId="77777777" w:rsidR="00EC6DC4" w:rsidRDefault="006C2E3D">
      <w:pPr>
        <w:numPr>
          <w:ilvl w:val="0"/>
          <w:numId w:val="1"/>
        </w:numPr>
        <w:tabs>
          <w:tab w:val="clear" w:pos="288"/>
          <w:tab w:val="left" w:pos="1080"/>
        </w:tabs>
        <w:spacing w:before="98" w:line="276" w:lineRule="exact"/>
        <w:ind w:left="1080" w:hanging="288"/>
        <w:textAlignment w:val="baseline"/>
        <w:rPr>
          <w:rFonts w:eastAsia="Times New Roman"/>
          <w:color w:val="000000"/>
          <w:sz w:val="24"/>
        </w:rPr>
      </w:pPr>
      <w:r>
        <w:rPr>
          <w:rFonts w:eastAsia="Times New Roman"/>
          <w:color w:val="000000"/>
          <w:sz w:val="24"/>
        </w:rPr>
        <w:t>Proof of age (e.g., birth certificates).</w:t>
      </w:r>
    </w:p>
    <w:p w14:paraId="4D752DF3" w14:textId="77777777" w:rsidR="00EC6DC4" w:rsidRDefault="006C2E3D">
      <w:pPr>
        <w:numPr>
          <w:ilvl w:val="0"/>
          <w:numId w:val="1"/>
        </w:numPr>
        <w:tabs>
          <w:tab w:val="clear" w:pos="288"/>
          <w:tab w:val="left" w:pos="1080"/>
        </w:tabs>
        <w:spacing w:before="101" w:line="276" w:lineRule="exact"/>
        <w:ind w:left="1080" w:right="216" w:hanging="288"/>
        <w:textAlignment w:val="baseline"/>
        <w:rPr>
          <w:rFonts w:eastAsia="Times New Roman"/>
          <w:color w:val="000000"/>
          <w:sz w:val="24"/>
        </w:rPr>
      </w:pPr>
      <w:r>
        <w:rPr>
          <w:rFonts w:eastAsia="Times New Roman"/>
          <w:color w:val="000000"/>
          <w:sz w:val="24"/>
        </w:rPr>
        <w:t>Immunization record or documents verifying legal exemption revealing compliance with state requirements.</w:t>
      </w:r>
    </w:p>
    <w:p w14:paraId="23709D45" w14:textId="77777777" w:rsidR="00EC6DC4" w:rsidRDefault="006C2E3D">
      <w:pPr>
        <w:numPr>
          <w:ilvl w:val="0"/>
          <w:numId w:val="1"/>
        </w:numPr>
        <w:tabs>
          <w:tab w:val="clear" w:pos="288"/>
          <w:tab w:val="left" w:pos="1080"/>
        </w:tabs>
        <w:spacing w:before="99" w:line="276" w:lineRule="exact"/>
        <w:ind w:left="1080" w:hanging="288"/>
        <w:textAlignment w:val="baseline"/>
        <w:rPr>
          <w:rFonts w:eastAsia="Times New Roman"/>
          <w:color w:val="000000"/>
          <w:sz w:val="24"/>
        </w:rPr>
      </w:pPr>
      <w:r>
        <w:rPr>
          <w:rFonts w:eastAsia="Times New Roman"/>
          <w:color w:val="000000"/>
          <w:sz w:val="24"/>
        </w:rPr>
        <w:t>Proof of residence.</w:t>
      </w:r>
      <w:bookmarkStart w:id="0" w:name="_GoBack"/>
      <w:bookmarkEnd w:id="0"/>
    </w:p>
    <w:p w14:paraId="324E1950" w14:textId="77777777" w:rsidR="00EC6DC4" w:rsidRDefault="006C2E3D">
      <w:pPr>
        <w:tabs>
          <w:tab w:val="left" w:pos="1440"/>
        </w:tabs>
        <w:spacing w:before="481" w:line="273" w:lineRule="exact"/>
        <w:textAlignment w:val="baseline"/>
        <w:rPr>
          <w:rFonts w:eastAsia="Times New Roman"/>
          <w:b/>
          <w:color w:val="000000"/>
          <w:sz w:val="24"/>
        </w:rPr>
      </w:pPr>
      <w:r>
        <w:rPr>
          <w:rFonts w:eastAsia="Times New Roman"/>
          <w:b/>
          <w:color w:val="000000"/>
          <w:sz w:val="24"/>
        </w:rPr>
        <w:t>Section 3.</w:t>
      </w:r>
      <w:r>
        <w:rPr>
          <w:rFonts w:eastAsia="Times New Roman"/>
          <w:b/>
          <w:color w:val="000000"/>
          <w:sz w:val="24"/>
        </w:rPr>
        <w:tab/>
        <w:t>Requests for Student Records</w:t>
      </w:r>
    </w:p>
    <w:p w14:paraId="792DE335" w14:textId="77777777" w:rsidR="00EC6DC4" w:rsidRDefault="006C2E3D">
      <w:pPr>
        <w:spacing w:before="98" w:line="276" w:lineRule="exact"/>
        <w:ind w:right="72"/>
        <w:textAlignment w:val="baseline"/>
        <w:rPr>
          <w:rFonts w:eastAsia="Times New Roman"/>
          <w:b/>
          <w:color w:val="000000"/>
          <w:spacing w:val="-1"/>
          <w:sz w:val="24"/>
        </w:rPr>
      </w:pPr>
      <w:r>
        <w:rPr>
          <w:rFonts w:eastAsia="Times New Roman"/>
          <w:b/>
          <w:color w:val="000000"/>
          <w:spacing w:val="-1"/>
          <w:sz w:val="24"/>
        </w:rPr>
        <w:t xml:space="preserve">Section 3.1 </w:t>
      </w:r>
      <w:r>
        <w:rPr>
          <w:rFonts w:eastAsia="Times New Roman"/>
          <w:color w:val="000000"/>
          <w:spacing w:val="-1"/>
          <w:sz w:val="24"/>
        </w:rPr>
        <w:t>Within two business days of enrolling a student, the school official enrolling the student shall request those records required by Hawthorn for student transfer, including discipline records, from all schools previously attended by the student within the last 12 months.</w:t>
      </w:r>
    </w:p>
    <w:p w14:paraId="70725D97" w14:textId="77777777" w:rsidR="00EC6DC4" w:rsidRDefault="006C2E3D">
      <w:pPr>
        <w:spacing w:before="91" w:line="283" w:lineRule="exact"/>
        <w:ind w:right="504"/>
        <w:textAlignment w:val="baseline"/>
        <w:rPr>
          <w:rFonts w:eastAsia="Times New Roman"/>
          <w:b/>
          <w:color w:val="000000"/>
          <w:sz w:val="24"/>
        </w:rPr>
      </w:pPr>
      <w:r>
        <w:rPr>
          <w:rFonts w:eastAsia="Times New Roman"/>
          <w:b/>
          <w:color w:val="000000"/>
          <w:sz w:val="24"/>
        </w:rPr>
        <w:t xml:space="preserve">Section 3.2 </w:t>
      </w:r>
      <w:r>
        <w:rPr>
          <w:rFonts w:eastAsia="Times New Roman"/>
          <w:color w:val="000000"/>
          <w:sz w:val="24"/>
        </w:rPr>
        <w:t>Hawthorn shall respond to requests from another school or school district for records required for student transfer within five business days of receiving the request.</w:t>
      </w:r>
    </w:p>
    <w:p w14:paraId="6E7D5513" w14:textId="77777777" w:rsidR="00EC6DC4" w:rsidRDefault="006C2E3D">
      <w:pPr>
        <w:tabs>
          <w:tab w:val="left" w:pos="1440"/>
        </w:tabs>
        <w:spacing w:before="103" w:line="273" w:lineRule="exact"/>
        <w:textAlignment w:val="baseline"/>
        <w:rPr>
          <w:rFonts w:eastAsia="Times New Roman"/>
          <w:b/>
          <w:color w:val="000000"/>
          <w:sz w:val="24"/>
        </w:rPr>
      </w:pPr>
      <w:r>
        <w:rPr>
          <w:rFonts w:eastAsia="Times New Roman"/>
          <w:b/>
          <w:color w:val="000000"/>
          <w:sz w:val="24"/>
        </w:rPr>
        <w:t>Section 4.</w:t>
      </w:r>
      <w:r>
        <w:rPr>
          <w:rFonts w:eastAsia="Times New Roman"/>
          <w:b/>
          <w:color w:val="000000"/>
          <w:sz w:val="24"/>
        </w:rPr>
        <w:tab/>
        <w:t>Statement of Prior Suspension, Expulsion or Criminal Offense</w:t>
      </w:r>
    </w:p>
    <w:p w14:paraId="5935B768" w14:textId="77777777" w:rsidR="00EC6DC4" w:rsidRDefault="006C2E3D">
      <w:pPr>
        <w:spacing w:before="97" w:line="276" w:lineRule="exact"/>
        <w:textAlignment w:val="baseline"/>
        <w:rPr>
          <w:rFonts w:eastAsia="Times New Roman"/>
          <w:color w:val="000000"/>
          <w:sz w:val="24"/>
        </w:rPr>
      </w:pPr>
      <w:r>
        <w:rPr>
          <w:rFonts w:eastAsia="Times New Roman"/>
          <w:color w:val="000000"/>
          <w:sz w:val="24"/>
        </w:rPr>
        <w:t>Hawthorn requires the parent, guardian or other person having control or charge of a student to provide upon enrollment in Hawthorn a signed statement indicating whether the student has been suspended or expelled from a public or private school in this state or any other state for an offense that would be in violation of Hawthorn policies. In addition, the person enrolling the student must affirm that the student has not been convicted of or charged with an act listed in the "Admission Restriction" section of this policy. This registration document shall be maintained as a part of the student's education record.</w:t>
      </w:r>
    </w:p>
    <w:p w14:paraId="2DA4DDBA" w14:textId="77777777" w:rsidR="00240F04" w:rsidRDefault="006C2E3D" w:rsidP="00240F04">
      <w:pPr>
        <w:tabs>
          <w:tab w:val="left" w:pos="1440"/>
        </w:tabs>
        <w:spacing w:before="102" w:line="264" w:lineRule="exact"/>
        <w:textAlignment w:val="baseline"/>
        <w:rPr>
          <w:rFonts w:eastAsia="Times New Roman"/>
          <w:b/>
          <w:color w:val="000000"/>
          <w:sz w:val="24"/>
        </w:rPr>
      </w:pPr>
      <w:r>
        <w:rPr>
          <w:rFonts w:eastAsia="Times New Roman"/>
          <w:b/>
          <w:color w:val="000000"/>
          <w:sz w:val="24"/>
        </w:rPr>
        <w:t>Section 5.</w:t>
      </w:r>
      <w:r>
        <w:rPr>
          <w:rFonts w:eastAsia="Times New Roman"/>
          <w:b/>
          <w:color w:val="000000"/>
          <w:sz w:val="24"/>
        </w:rPr>
        <w:tab/>
        <w:t>Students Suspended or Expelled from Another School</w:t>
      </w:r>
    </w:p>
    <w:p w14:paraId="2D6B18DF" w14:textId="3E8273E5" w:rsidR="00EC6DC4" w:rsidRDefault="006C2E3D" w:rsidP="00240F04">
      <w:pPr>
        <w:tabs>
          <w:tab w:val="left" w:pos="1440"/>
        </w:tabs>
        <w:spacing w:before="102" w:line="264" w:lineRule="exact"/>
        <w:textAlignment w:val="baseline"/>
        <w:rPr>
          <w:rFonts w:eastAsia="Times New Roman"/>
          <w:b/>
          <w:color w:val="000000"/>
          <w:sz w:val="24"/>
        </w:rPr>
      </w:pPr>
      <w:r>
        <w:rPr>
          <w:rFonts w:eastAsia="Times New Roman"/>
          <w:b/>
          <w:color w:val="000000"/>
          <w:sz w:val="24"/>
        </w:rPr>
        <w:t xml:space="preserve">Section 5.1 </w:t>
      </w:r>
      <w:r>
        <w:rPr>
          <w:rFonts w:eastAsia="Times New Roman"/>
          <w:color w:val="000000"/>
          <w:sz w:val="24"/>
        </w:rPr>
        <w:t>Without the permission of the Executive Director, no student may enroll in Hawthorn during a suspension or expulsion from another in-state or out-of-state school, including a private, charter or parochial school or school district, if it is determined upon attempt to enroll that the student's conduct would have resulted in a suspension or expulsion from Hawthorn. The parent/guardian or student may request a conference with the Executive Director or designee to consider whether the conduct of the student would have resulted in a suspension or expulsion from Hawthorn. The Executive Director may make such suspension or expulsion from another school or school district effective if it is determined that such conduct would have resulted in a suspension or expulsion from Hawthorn. If it is determined that such conduct would not have resulted in a suspension or expulsion from Hawthorn, the Executive Director shall not make such suspension or expulsion from another school or district effective. The Executive Director will consider whether the student has received the due process required by law before making any decision.</w:t>
      </w:r>
    </w:p>
    <w:p w14:paraId="00A5E268" w14:textId="77777777" w:rsidR="00EC6DC4" w:rsidRDefault="006C2E3D">
      <w:pPr>
        <w:spacing w:before="108" w:line="274" w:lineRule="exact"/>
        <w:ind w:right="216"/>
        <w:textAlignment w:val="baseline"/>
        <w:rPr>
          <w:rFonts w:eastAsia="Times New Roman"/>
          <w:b/>
          <w:color w:val="000000"/>
          <w:spacing w:val="1"/>
          <w:sz w:val="24"/>
        </w:rPr>
      </w:pPr>
      <w:r>
        <w:rPr>
          <w:rFonts w:eastAsia="Times New Roman"/>
          <w:b/>
          <w:color w:val="000000"/>
          <w:spacing w:val="1"/>
          <w:sz w:val="24"/>
        </w:rPr>
        <w:t xml:space="preserve">Section 5.2 </w:t>
      </w:r>
      <w:r>
        <w:rPr>
          <w:rFonts w:eastAsia="Times New Roman"/>
          <w:color w:val="000000"/>
          <w:spacing w:val="1"/>
          <w:sz w:val="24"/>
        </w:rPr>
        <w:t xml:space="preserve">A remedial conference will be held prior to the enrollment of any student following a suspension for more than ten consecutive school days or expulsion from another school for an act of school violence as defined in § 160.261.2, </w:t>
      </w:r>
      <w:proofErr w:type="spellStart"/>
      <w:r>
        <w:rPr>
          <w:rFonts w:eastAsia="Times New Roman"/>
          <w:color w:val="000000"/>
          <w:spacing w:val="1"/>
          <w:sz w:val="24"/>
        </w:rPr>
        <w:t>RSMo</w:t>
      </w:r>
      <w:proofErr w:type="spellEnd"/>
      <w:r>
        <w:rPr>
          <w:rFonts w:eastAsia="Times New Roman"/>
          <w:color w:val="000000"/>
          <w:spacing w:val="1"/>
          <w:sz w:val="24"/>
        </w:rPr>
        <w:t>. The remedial conference will be held regardless of whether such act was committed at a public or private school in this state.</w:t>
      </w:r>
    </w:p>
    <w:p w14:paraId="76EB5684" w14:textId="77777777" w:rsidR="00EC6DC4" w:rsidRDefault="006C2E3D">
      <w:pPr>
        <w:tabs>
          <w:tab w:val="left" w:pos="1440"/>
        </w:tabs>
        <w:spacing w:before="108" w:line="273" w:lineRule="exact"/>
        <w:textAlignment w:val="baseline"/>
        <w:rPr>
          <w:rFonts w:eastAsia="Times New Roman"/>
          <w:b/>
          <w:color w:val="000000"/>
          <w:sz w:val="24"/>
        </w:rPr>
      </w:pPr>
      <w:r>
        <w:rPr>
          <w:rFonts w:eastAsia="Times New Roman"/>
          <w:b/>
          <w:color w:val="000000"/>
          <w:sz w:val="24"/>
        </w:rPr>
        <w:t>Section 6.</w:t>
      </w:r>
      <w:r>
        <w:rPr>
          <w:rFonts w:eastAsia="Times New Roman"/>
          <w:b/>
          <w:color w:val="000000"/>
          <w:sz w:val="24"/>
        </w:rPr>
        <w:tab/>
        <w:t>Admission Restriction</w:t>
      </w:r>
    </w:p>
    <w:p w14:paraId="3D6302A3" w14:textId="77777777" w:rsidR="00EC6DC4" w:rsidRDefault="006C2E3D">
      <w:pPr>
        <w:spacing w:before="103" w:line="274" w:lineRule="exact"/>
        <w:textAlignment w:val="baseline"/>
        <w:rPr>
          <w:rFonts w:eastAsia="Times New Roman"/>
          <w:b/>
          <w:color w:val="000000"/>
          <w:sz w:val="24"/>
        </w:rPr>
      </w:pPr>
      <w:r>
        <w:rPr>
          <w:rFonts w:eastAsia="Times New Roman"/>
          <w:b/>
          <w:color w:val="000000"/>
          <w:sz w:val="24"/>
        </w:rPr>
        <w:t xml:space="preserve">Section 6.1 </w:t>
      </w:r>
      <w:r>
        <w:rPr>
          <w:rFonts w:eastAsia="Times New Roman"/>
          <w:color w:val="000000"/>
          <w:sz w:val="24"/>
        </w:rPr>
        <w:t xml:space="preserve">In accordance with § 167.171, </w:t>
      </w:r>
      <w:proofErr w:type="spellStart"/>
      <w:r>
        <w:rPr>
          <w:rFonts w:eastAsia="Times New Roman"/>
          <w:color w:val="000000"/>
          <w:sz w:val="24"/>
        </w:rPr>
        <w:t>RSMo</w:t>
      </w:r>
      <w:proofErr w:type="spellEnd"/>
      <w:r>
        <w:rPr>
          <w:rFonts w:eastAsia="Times New Roman"/>
          <w:color w:val="000000"/>
          <w:sz w:val="24"/>
        </w:rPr>
        <w:t>, no student may be readmitted or enrolled to Hawthorn if she has been convicted of or charged with an act that if committed by an adult would be one of the following:</w:t>
      </w:r>
    </w:p>
    <w:p w14:paraId="1A68EFD3" w14:textId="77777777" w:rsidR="00EC6DC4" w:rsidRDefault="006C2E3D">
      <w:pPr>
        <w:numPr>
          <w:ilvl w:val="0"/>
          <w:numId w:val="2"/>
        </w:numPr>
        <w:tabs>
          <w:tab w:val="clear" w:pos="360"/>
          <w:tab w:val="left" w:pos="1080"/>
        </w:tabs>
        <w:spacing w:before="103" w:line="271" w:lineRule="exact"/>
        <w:ind w:left="1080" w:hanging="360"/>
        <w:textAlignment w:val="baseline"/>
        <w:rPr>
          <w:rFonts w:eastAsia="Times New Roman"/>
          <w:color w:val="000000"/>
          <w:sz w:val="24"/>
        </w:rPr>
      </w:pPr>
      <w:r>
        <w:rPr>
          <w:rFonts w:eastAsia="Times New Roman"/>
          <w:color w:val="000000"/>
          <w:sz w:val="24"/>
        </w:rPr>
        <w:t xml:space="preserve">First degree murder under § 565.020, </w:t>
      </w:r>
      <w:proofErr w:type="spellStart"/>
      <w:r>
        <w:rPr>
          <w:rFonts w:eastAsia="Times New Roman"/>
          <w:color w:val="000000"/>
          <w:sz w:val="24"/>
        </w:rPr>
        <w:t>RSMo</w:t>
      </w:r>
      <w:proofErr w:type="spellEnd"/>
      <w:r>
        <w:rPr>
          <w:rFonts w:eastAsia="Times New Roman"/>
          <w:color w:val="000000"/>
          <w:sz w:val="24"/>
        </w:rPr>
        <w:t>.</w:t>
      </w:r>
    </w:p>
    <w:p w14:paraId="46C52581" w14:textId="77777777" w:rsidR="00EC6DC4" w:rsidRDefault="006C2E3D">
      <w:pPr>
        <w:numPr>
          <w:ilvl w:val="0"/>
          <w:numId w:val="2"/>
        </w:numPr>
        <w:tabs>
          <w:tab w:val="clear" w:pos="360"/>
          <w:tab w:val="left" w:pos="1080"/>
        </w:tabs>
        <w:spacing w:before="286" w:line="271" w:lineRule="exact"/>
        <w:ind w:left="1080" w:hanging="360"/>
        <w:textAlignment w:val="baseline"/>
        <w:rPr>
          <w:rFonts w:eastAsia="Times New Roman"/>
          <w:color w:val="000000"/>
          <w:sz w:val="24"/>
        </w:rPr>
      </w:pPr>
      <w:r>
        <w:rPr>
          <w:rFonts w:eastAsia="Times New Roman"/>
          <w:color w:val="000000"/>
          <w:sz w:val="24"/>
        </w:rPr>
        <w:t xml:space="preserve">Second degree murder under § 565.021, </w:t>
      </w:r>
      <w:proofErr w:type="spellStart"/>
      <w:r>
        <w:rPr>
          <w:rFonts w:eastAsia="Times New Roman"/>
          <w:color w:val="000000"/>
          <w:sz w:val="24"/>
        </w:rPr>
        <w:t>RSMo</w:t>
      </w:r>
      <w:proofErr w:type="spellEnd"/>
      <w:r>
        <w:rPr>
          <w:rFonts w:eastAsia="Times New Roman"/>
          <w:color w:val="000000"/>
          <w:sz w:val="24"/>
        </w:rPr>
        <w:t>.</w:t>
      </w:r>
    </w:p>
    <w:p w14:paraId="143C9404" w14:textId="77777777" w:rsidR="00EC6DC4" w:rsidRDefault="006C2E3D">
      <w:pPr>
        <w:numPr>
          <w:ilvl w:val="0"/>
          <w:numId w:val="2"/>
        </w:numPr>
        <w:tabs>
          <w:tab w:val="clear" w:pos="360"/>
          <w:tab w:val="left" w:pos="1080"/>
        </w:tabs>
        <w:spacing w:before="281" w:line="271" w:lineRule="exact"/>
        <w:ind w:left="1080" w:hanging="360"/>
        <w:textAlignment w:val="baseline"/>
        <w:rPr>
          <w:rFonts w:eastAsia="Times New Roman"/>
          <w:color w:val="000000"/>
          <w:sz w:val="24"/>
        </w:rPr>
      </w:pPr>
      <w:r>
        <w:rPr>
          <w:rFonts w:eastAsia="Times New Roman"/>
          <w:color w:val="000000"/>
          <w:sz w:val="24"/>
        </w:rPr>
        <w:t xml:space="preserve">First degree assault under § 565.050, </w:t>
      </w:r>
      <w:proofErr w:type="spellStart"/>
      <w:r>
        <w:rPr>
          <w:rFonts w:eastAsia="Times New Roman"/>
          <w:color w:val="000000"/>
          <w:sz w:val="24"/>
        </w:rPr>
        <w:t>RSMo</w:t>
      </w:r>
      <w:proofErr w:type="spellEnd"/>
      <w:r>
        <w:rPr>
          <w:rFonts w:eastAsia="Times New Roman"/>
          <w:color w:val="000000"/>
          <w:sz w:val="24"/>
        </w:rPr>
        <w:t>.</w:t>
      </w:r>
    </w:p>
    <w:p w14:paraId="7307223C" w14:textId="77777777" w:rsidR="00EC6DC4" w:rsidRDefault="006C2E3D">
      <w:pPr>
        <w:numPr>
          <w:ilvl w:val="0"/>
          <w:numId w:val="2"/>
        </w:numPr>
        <w:tabs>
          <w:tab w:val="clear" w:pos="360"/>
          <w:tab w:val="left" w:pos="1080"/>
        </w:tabs>
        <w:spacing w:before="264" w:line="283" w:lineRule="exact"/>
        <w:ind w:left="1080" w:right="72" w:hanging="360"/>
        <w:textAlignment w:val="baseline"/>
        <w:rPr>
          <w:rFonts w:eastAsia="Times New Roman"/>
          <w:color w:val="000000"/>
          <w:sz w:val="24"/>
        </w:rPr>
      </w:pPr>
      <w:r>
        <w:rPr>
          <w:rFonts w:eastAsia="Times New Roman"/>
          <w:color w:val="000000"/>
          <w:sz w:val="24"/>
        </w:rPr>
        <w:t xml:space="preserve">Forcible rape (as it existed prior to August 28, 2013) or rape in the first degree under § 566.030, </w:t>
      </w:r>
      <w:proofErr w:type="spellStart"/>
      <w:r>
        <w:rPr>
          <w:rFonts w:eastAsia="Times New Roman"/>
          <w:color w:val="000000"/>
          <w:sz w:val="24"/>
        </w:rPr>
        <w:t>RSMo</w:t>
      </w:r>
      <w:proofErr w:type="spellEnd"/>
      <w:r>
        <w:rPr>
          <w:rFonts w:eastAsia="Times New Roman"/>
          <w:color w:val="000000"/>
          <w:sz w:val="24"/>
        </w:rPr>
        <w:t>.</w:t>
      </w:r>
    </w:p>
    <w:p w14:paraId="73B94E41" w14:textId="77777777" w:rsidR="00EC6DC4" w:rsidRDefault="006C2E3D">
      <w:pPr>
        <w:numPr>
          <w:ilvl w:val="0"/>
          <w:numId w:val="2"/>
        </w:numPr>
        <w:tabs>
          <w:tab w:val="clear" w:pos="360"/>
          <w:tab w:val="left" w:pos="1080"/>
        </w:tabs>
        <w:spacing w:before="273" w:line="274" w:lineRule="exact"/>
        <w:ind w:left="1080" w:hanging="360"/>
        <w:jc w:val="both"/>
        <w:textAlignment w:val="baseline"/>
        <w:rPr>
          <w:rFonts w:eastAsia="Times New Roman"/>
          <w:color w:val="000000"/>
          <w:sz w:val="24"/>
        </w:rPr>
      </w:pPr>
      <w:r>
        <w:rPr>
          <w:rFonts w:eastAsia="Times New Roman"/>
          <w:color w:val="000000"/>
          <w:sz w:val="24"/>
        </w:rPr>
        <w:t xml:space="preserve">Forcible sodomy (as it existed prior to August 28, 2013) or sodomy in the first degree under § 566.060, </w:t>
      </w:r>
      <w:proofErr w:type="spellStart"/>
      <w:r>
        <w:rPr>
          <w:rFonts w:eastAsia="Times New Roman"/>
          <w:color w:val="000000"/>
          <w:sz w:val="24"/>
        </w:rPr>
        <w:t>RSMo</w:t>
      </w:r>
      <w:proofErr w:type="spellEnd"/>
      <w:r>
        <w:rPr>
          <w:rFonts w:eastAsia="Times New Roman"/>
          <w:color w:val="000000"/>
          <w:sz w:val="24"/>
        </w:rPr>
        <w:t>.</w:t>
      </w:r>
    </w:p>
    <w:p w14:paraId="26FC1A90" w14:textId="77777777" w:rsidR="00EC6DC4" w:rsidRDefault="006C2E3D">
      <w:pPr>
        <w:numPr>
          <w:ilvl w:val="0"/>
          <w:numId w:val="2"/>
        </w:numPr>
        <w:tabs>
          <w:tab w:val="clear" w:pos="360"/>
          <w:tab w:val="left" w:pos="1080"/>
        </w:tabs>
        <w:spacing w:before="286" w:line="271" w:lineRule="exact"/>
        <w:ind w:left="1080" w:hanging="360"/>
        <w:jc w:val="both"/>
        <w:textAlignment w:val="baseline"/>
        <w:rPr>
          <w:rFonts w:eastAsia="Times New Roman"/>
          <w:color w:val="000000"/>
          <w:sz w:val="24"/>
        </w:rPr>
      </w:pPr>
      <w:r>
        <w:rPr>
          <w:rFonts w:eastAsia="Times New Roman"/>
          <w:color w:val="000000"/>
          <w:sz w:val="24"/>
        </w:rPr>
        <w:t xml:space="preserve">Statutory rape under § 566.032, </w:t>
      </w:r>
      <w:proofErr w:type="spellStart"/>
      <w:r>
        <w:rPr>
          <w:rFonts w:eastAsia="Times New Roman"/>
          <w:color w:val="000000"/>
          <w:sz w:val="24"/>
        </w:rPr>
        <w:t>RSMo</w:t>
      </w:r>
      <w:proofErr w:type="spellEnd"/>
      <w:r>
        <w:rPr>
          <w:rFonts w:eastAsia="Times New Roman"/>
          <w:color w:val="000000"/>
          <w:sz w:val="24"/>
        </w:rPr>
        <w:t>.</w:t>
      </w:r>
    </w:p>
    <w:p w14:paraId="3093BF09" w14:textId="77777777" w:rsidR="00EC6DC4" w:rsidRDefault="006C2E3D">
      <w:pPr>
        <w:numPr>
          <w:ilvl w:val="0"/>
          <w:numId w:val="2"/>
        </w:numPr>
        <w:tabs>
          <w:tab w:val="clear" w:pos="360"/>
          <w:tab w:val="left" w:pos="1080"/>
        </w:tabs>
        <w:spacing w:before="281" w:line="271" w:lineRule="exact"/>
        <w:ind w:left="1080" w:hanging="360"/>
        <w:jc w:val="both"/>
        <w:textAlignment w:val="baseline"/>
        <w:rPr>
          <w:rFonts w:eastAsia="Times New Roman"/>
          <w:color w:val="000000"/>
          <w:sz w:val="24"/>
        </w:rPr>
      </w:pPr>
      <w:r>
        <w:rPr>
          <w:rFonts w:eastAsia="Times New Roman"/>
          <w:color w:val="000000"/>
          <w:sz w:val="24"/>
        </w:rPr>
        <w:t xml:space="preserve">Statutory sodomy under § 566.062, </w:t>
      </w:r>
      <w:proofErr w:type="spellStart"/>
      <w:r>
        <w:rPr>
          <w:rFonts w:eastAsia="Times New Roman"/>
          <w:color w:val="000000"/>
          <w:sz w:val="24"/>
        </w:rPr>
        <w:t>RSMo</w:t>
      </w:r>
      <w:proofErr w:type="spellEnd"/>
      <w:r>
        <w:rPr>
          <w:rFonts w:eastAsia="Times New Roman"/>
          <w:color w:val="000000"/>
          <w:sz w:val="24"/>
        </w:rPr>
        <w:t>.</w:t>
      </w:r>
    </w:p>
    <w:p w14:paraId="2F148301" w14:textId="77777777" w:rsidR="00EC6DC4" w:rsidRDefault="006C2E3D">
      <w:pPr>
        <w:numPr>
          <w:ilvl w:val="0"/>
          <w:numId w:val="2"/>
        </w:numPr>
        <w:tabs>
          <w:tab w:val="clear" w:pos="360"/>
          <w:tab w:val="left" w:pos="1080"/>
        </w:tabs>
        <w:spacing w:before="276" w:line="271" w:lineRule="exact"/>
        <w:ind w:left="1080" w:hanging="360"/>
        <w:jc w:val="both"/>
        <w:textAlignment w:val="baseline"/>
        <w:rPr>
          <w:rFonts w:eastAsia="Times New Roman"/>
          <w:color w:val="000000"/>
          <w:sz w:val="24"/>
        </w:rPr>
      </w:pPr>
      <w:r>
        <w:rPr>
          <w:rFonts w:eastAsia="Times New Roman"/>
          <w:color w:val="000000"/>
          <w:sz w:val="24"/>
        </w:rPr>
        <w:t xml:space="preserve">Robbery in the first degree under § 569.020, </w:t>
      </w:r>
      <w:proofErr w:type="spellStart"/>
      <w:r>
        <w:rPr>
          <w:rFonts w:eastAsia="Times New Roman"/>
          <w:color w:val="000000"/>
          <w:sz w:val="24"/>
        </w:rPr>
        <w:t>RSMo</w:t>
      </w:r>
      <w:proofErr w:type="spellEnd"/>
      <w:r>
        <w:rPr>
          <w:rFonts w:eastAsia="Times New Roman"/>
          <w:color w:val="000000"/>
          <w:sz w:val="24"/>
        </w:rPr>
        <w:t>.</w:t>
      </w:r>
    </w:p>
    <w:p w14:paraId="40F282D2" w14:textId="77777777" w:rsidR="00EC6DC4" w:rsidRDefault="006C2E3D">
      <w:pPr>
        <w:numPr>
          <w:ilvl w:val="0"/>
          <w:numId w:val="2"/>
        </w:numPr>
        <w:tabs>
          <w:tab w:val="clear" w:pos="360"/>
          <w:tab w:val="left" w:pos="1080"/>
        </w:tabs>
        <w:spacing w:before="286" w:line="271" w:lineRule="exact"/>
        <w:ind w:left="1080" w:hanging="360"/>
        <w:jc w:val="both"/>
        <w:textAlignment w:val="baseline"/>
        <w:rPr>
          <w:rFonts w:eastAsia="Times New Roman"/>
          <w:color w:val="000000"/>
          <w:sz w:val="24"/>
        </w:rPr>
      </w:pPr>
      <w:r>
        <w:rPr>
          <w:rFonts w:eastAsia="Times New Roman"/>
          <w:color w:val="000000"/>
          <w:sz w:val="24"/>
        </w:rPr>
        <w:t xml:space="preserve">Distribution of drugs to a minor under § 195.212, </w:t>
      </w:r>
      <w:proofErr w:type="spellStart"/>
      <w:r>
        <w:rPr>
          <w:rFonts w:eastAsia="Times New Roman"/>
          <w:color w:val="000000"/>
          <w:sz w:val="24"/>
        </w:rPr>
        <w:t>RSMo</w:t>
      </w:r>
      <w:proofErr w:type="spellEnd"/>
      <w:r>
        <w:rPr>
          <w:rFonts w:eastAsia="Times New Roman"/>
          <w:color w:val="000000"/>
          <w:sz w:val="24"/>
        </w:rPr>
        <w:t>.</w:t>
      </w:r>
    </w:p>
    <w:p w14:paraId="32919ABE" w14:textId="619340D8" w:rsidR="00EC6DC4" w:rsidRDefault="006C2E3D">
      <w:pPr>
        <w:numPr>
          <w:ilvl w:val="0"/>
          <w:numId w:val="2"/>
        </w:numPr>
        <w:tabs>
          <w:tab w:val="clear" w:pos="360"/>
          <w:tab w:val="left" w:pos="1080"/>
        </w:tabs>
        <w:spacing w:before="281" w:line="271" w:lineRule="exact"/>
        <w:ind w:left="1080" w:hanging="360"/>
        <w:jc w:val="both"/>
        <w:textAlignment w:val="baseline"/>
        <w:rPr>
          <w:rFonts w:eastAsia="Times New Roman"/>
          <w:color w:val="000000"/>
          <w:sz w:val="24"/>
        </w:rPr>
      </w:pPr>
      <w:r>
        <w:rPr>
          <w:rFonts w:eastAsia="Times New Roman"/>
          <w:color w:val="000000"/>
          <w:sz w:val="24"/>
        </w:rPr>
        <w:t xml:space="preserve">Arson in the first degree under § 569.040, </w:t>
      </w:r>
      <w:proofErr w:type="spellStart"/>
      <w:r>
        <w:rPr>
          <w:rFonts w:eastAsia="Times New Roman"/>
          <w:color w:val="000000"/>
          <w:sz w:val="24"/>
        </w:rPr>
        <w:t>RSMo</w:t>
      </w:r>
      <w:proofErr w:type="spellEnd"/>
      <w:r>
        <w:rPr>
          <w:rFonts w:eastAsia="Times New Roman"/>
          <w:color w:val="000000"/>
          <w:sz w:val="24"/>
        </w:rPr>
        <w:t>.</w:t>
      </w:r>
    </w:p>
    <w:p w14:paraId="2FD19877" w14:textId="1D363F9B" w:rsidR="00EC6DC4" w:rsidRPr="002502A8" w:rsidRDefault="006C2E3D" w:rsidP="002502A8">
      <w:pPr>
        <w:numPr>
          <w:ilvl w:val="0"/>
          <w:numId w:val="2"/>
        </w:numPr>
        <w:tabs>
          <w:tab w:val="clear" w:pos="360"/>
          <w:tab w:val="left" w:pos="1080"/>
        </w:tabs>
        <w:spacing w:before="281" w:line="271" w:lineRule="exact"/>
        <w:ind w:left="1080" w:hanging="360"/>
        <w:jc w:val="both"/>
        <w:textAlignment w:val="baseline"/>
        <w:rPr>
          <w:rFonts w:eastAsia="Times New Roman"/>
          <w:color w:val="000000"/>
          <w:sz w:val="24"/>
        </w:rPr>
      </w:pPr>
      <w:r w:rsidRPr="002502A8">
        <w:rPr>
          <w:rFonts w:eastAsia="Times New Roman"/>
          <w:color w:val="000000"/>
          <w:sz w:val="24"/>
        </w:rPr>
        <w:t xml:space="preserve">Kidnapping, when classified as a class A felony under § 565.110, </w:t>
      </w:r>
      <w:proofErr w:type="spellStart"/>
      <w:r w:rsidRPr="002502A8">
        <w:rPr>
          <w:rFonts w:eastAsia="Times New Roman"/>
          <w:color w:val="000000"/>
          <w:sz w:val="24"/>
        </w:rPr>
        <w:t>RSMo</w:t>
      </w:r>
      <w:proofErr w:type="spellEnd"/>
      <w:r w:rsidRPr="002502A8">
        <w:rPr>
          <w:rFonts w:eastAsia="Times New Roman"/>
          <w:color w:val="000000"/>
          <w:sz w:val="24"/>
        </w:rPr>
        <w:t>.</w:t>
      </w:r>
    </w:p>
    <w:p w14:paraId="16D2D7C9" w14:textId="77777777" w:rsidR="00EC6DC4" w:rsidRDefault="006C2E3D">
      <w:pPr>
        <w:spacing w:before="109" w:line="274" w:lineRule="exact"/>
        <w:ind w:right="216"/>
        <w:textAlignment w:val="baseline"/>
        <w:rPr>
          <w:rFonts w:eastAsia="Times New Roman"/>
          <w:b/>
          <w:color w:val="000000"/>
          <w:spacing w:val="2"/>
          <w:sz w:val="24"/>
        </w:rPr>
      </w:pPr>
      <w:r>
        <w:rPr>
          <w:rFonts w:eastAsia="Times New Roman"/>
          <w:b/>
          <w:color w:val="000000"/>
          <w:spacing w:val="2"/>
          <w:sz w:val="24"/>
        </w:rPr>
        <w:lastRenderedPageBreak/>
        <w:t xml:space="preserve">Section 6.2 </w:t>
      </w:r>
      <w:r>
        <w:rPr>
          <w:rFonts w:eastAsia="Times New Roman"/>
          <w:color w:val="000000"/>
          <w:spacing w:val="2"/>
          <w:sz w:val="24"/>
        </w:rPr>
        <w:t>Nothing in this section shall prohibit the readmittance or enrollment of any student if a charge has been dismissed or when a student has been acquitted of any of the above acts.</w:t>
      </w:r>
    </w:p>
    <w:p w14:paraId="31AD0998" w14:textId="77777777" w:rsidR="00EC6DC4" w:rsidRDefault="006C2E3D">
      <w:pPr>
        <w:spacing w:before="104" w:line="274" w:lineRule="exact"/>
        <w:ind w:right="432"/>
        <w:textAlignment w:val="baseline"/>
        <w:rPr>
          <w:rFonts w:eastAsia="Times New Roman"/>
          <w:b/>
          <w:color w:val="000000"/>
          <w:sz w:val="24"/>
        </w:rPr>
      </w:pPr>
      <w:r>
        <w:rPr>
          <w:rFonts w:eastAsia="Times New Roman"/>
          <w:b/>
          <w:color w:val="000000"/>
          <w:sz w:val="24"/>
        </w:rPr>
        <w:t xml:space="preserve">Section 6.3 </w:t>
      </w:r>
      <w:r>
        <w:rPr>
          <w:rFonts w:eastAsia="Times New Roman"/>
          <w:color w:val="000000"/>
          <w:sz w:val="24"/>
        </w:rPr>
        <w:t>This section 6 does not apply to a student with a disability, as identified under state eligibility criteria, who is convicted as a result of an action related to the student’s disability.</w:t>
      </w:r>
    </w:p>
    <w:p w14:paraId="5655E24F" w14:textId="77777777" w:rsidR="00EC6DC4" w:rsidRDefault="006C2E3D">
      <w:pPr>
        <w:spacing w:before="102" w:line="273" w:lineRule="exact"/>
        <w:textAlignment w:val="baseline"/>
        <w:rPr>
          <w:rFonts w:eastAsia="Times New Roman"/>
          <w:b/>
          <w:color w:val="000000"/>
          <w:sz w:val="24"/>
        </w:rPr>
      </w:pPr>
      <w:r>
        <w:rPr>
          <w:rFonts w:eastAsia="Times New Roman"/>
          <w:b/>
          <w:color w:val="000000"/>
          <w:sz w:val="24"/>
        </w:rPr>
        <w:t>Section 7 Transfer Students</w:t>
      </w:r>
    </w:p>
    <w:p w14:paraId="37D7E597" w14:textId="77777777" w:rsidR="00EC6DC4" w:rsidRDefault="006C2E3D">
      <w:pPr>
        <w:spacing w:before="282" w:line="274" w:lineRule="exact"/>
        <w:textAlignment w:val="baseline"/>
        <w:rPr>
          <w:rFonts w:eastAsia="Times New Roman"/>
          <w:b/>
          <w:color w:val="000000"/>
          <w:sz w:val="24"/>
        </w:rPr>
      </w:pPr>
      <w:r>
        <w:rPr>
          <w:rFonts w:eastAsia="Times New Roman"/>
          <w:b/>
          <w:color w:val="000000"/>
          <w:sz w:val="24"/>
        </w:rPr>
        <w:t xml:space="preserve">Section 7.1 </w:t>
      </w:r>
      <w:r>
        <w:rPr>
          <w:rFonts w:eastAsia="Times New Roman"/>
          <w:color w:val="000000"/>
          <w:sz w:val="24"/>
        </w:rPr>
        <w:t>The Executive Director shall establish the tuition that Hawthorn will charge the unaccredited sending district from which a nonresident student transfers in accordance applicable Missouri law.</w:t>
      </w:r>
    </w:p>
    <w:p w14:paraId="52944C79" w14:textId="5E4545DF" w:rsidR="001F2859" w:rsidRDefault="006C2E3D">
      <w:pPr>
        <w:spacing w:before="282" w:line="274" w:lineRule="exact"/>
        <w:textAlignment w:val="baseline"/>
        <w:rPr>
          <w:rFonts w:eastAsia="Times New Roman"/>
          <w:color w:val="000000"/>
          <w:sz w:val="24"/>
        </w:rPr>
      </w:pPr>
      <w:r>
        <w:rPr>
          <w:rFonts w:eastAsia="Times New Roman"/>
          <w:b/>
          <w:color w:val="000000"/>
          <w:sz w:val="24"/>
        </w:rPr>
        <w:t xml:space="preserve">Section 7.2 </w:t>
      </w:r>
      <w:r>
        <w:rPr>
          <w:rFonts w:eastAsia="Times New Roman"/>
          <w:color w:val="000000"/>
          <w:sz w:val="24"/>
        </w:rPr>
        <w:t>Hawthorn will notify the unaccredited sending district of residence when it enrolls a nonresident transfer student and establish reasonable billing terms and procedures with the unaccredited district.</w:t>
      </w:r>
      <w:r w:rsidR="00034B80">
        <w:rPr>
          <w:rFonts w:eastAsia="Times New Roman"/>
          <w:color w:val="000000"/>
          <w:sz w:val="24"/>
        </w:rPr>
        <w:br/>
      </w:r>
    </w:p>
    <w:p w14:paraId="22966883" w14:textId="7F341DA9" w:rsidR="00D241F0" w:rsidRDefault="00D241F0">
      <w:pPr>
        <w:spacing w:before="282" w:line="274" w:lineRule="exact"/>
        <w:textAlignment w:val="baseline"/>
        <w:rPr>
          <w:rFonts w:eastAsia="Times New Roman"/>
          <w:color w:val="000000"/>
          <w:sz w:val="24"/>
        </w:rPr>
      </w:pPr>
    </w:p>
    <w:p w14:paraId="0D62E5D1" w14:textId="26173B80" w:rsidR="00D241F0" w:rsidRDefault="00D241F0">
      <w:pPr>
        <w:spacing w:before="282" w:line="274" w:lineRule="exact"/>
        <w:textAlignment w:val="baseline"/>
        <w:rPr>
          <w:rFonts w:eastAsia="Times New Roman"/>
          <w:color w:val="000000"/>
          <w:sz w:val="24"/>
        </w:rPr>
      </w:pPr>
    </w:p>
    <w:p w14:paraId="6452564B" w14:textId="45C56F4F" w:rsidR="00D241F0" w:rsidRDefault="00D241F0">
      <w:pPr>
        <w:spacing w:before="282" w:line="274" w:lineRule="exact"/>
        <w:textAlignment w:val="baseline"/>
        <w:rPr>
          <w:rFonts w:eastAsia="Times New Roman"/>
          <w:color w:val="000000"/>
          <w:sz w:val="24"/>
        </w:rPr>
      </w:pPr>
    </w:p>
    <w:p w14:paraId="424C1166" w14:textId="7B445EE0" w:rsidR="00D241F0" w:rsidRDefault="00D241F0">
      <w:pPr>
        <w:spacing w:before="282" w:line="274" w:lineRule="exact"/>
        <w:textAlignment w:val="baseline"/>
        <w:rPr>
          <w:rFonts w:eastAsia="Times New Roman"/>
          <w:color w:val="000000"/>
          <w:sz w:val="24"/>
        </w:rPr>
      </w:pPr>
    </w:p>
    <w:p w14:paraId="08F8BC00" w14:textId="495112F5" w:rsidR="00D241F0" w:rsidRDefault="00D241F0">
      <w:pPr>
        <w:spacing w:before="282" w:line="274" w:lineRule="exact"/>
        <w:textAlignment w:val="baseline"/>
        <w:rPr>
          <w:rFonts w:eastAsia="Times New Roman"/>
          <w:color w:val="000000"/>
          <w:sz w:val="24"/>
        </w:rPr>
      </w:pPr>
    </w:p>
    <w:p w14:paraId="46511B5E" w14:textId="3093C13D" w:rsidR="00D241F0" w:rsidRDefault="00D241F0">
      <w:pPr>
        <w:spacing w:before="282" w:line="274" w:lineRule="exact"/>
        <w:textAlignment w:val="baseline"/>
        <w:rPr>
          <w:rFonts w:eastAsia="Times New Roman"/>
          <w:color w:val="000000"/>
          <w:sz w:val="24"/>
        </w:rPr>
      </w:pPr>
    </w:p>
    <w:p w14:paraId="2F68FDB4" w14:textId="69D9B33C" w:rsidR="00D241F0" w:rsidRDefault="00D241F0">
      <w:pPr>
        <w:spacing w:before="282" w:line="274" w:lineRule="exact"/>
        <w:textAlignment w:val="baseline"/>
        <w:rPr>
          <w:rFonts w:eastAsia="Times New Roman"/>
          <w:color w:val="000000"/>
          <w:sz w:val="24"/>
        </w:rPr>
      </w:pPr>
    </w:p>
    <w:p w14:paraId="5FBE049F" w14:textId="17C44352" w:rsidR="00D241F0" w:rsidRDefault="00D241F0">
      <w:pPr>
        <w:spacing w:before="282" w:line="274" w:lineRule="exact"/>
        <w:textAlignment w:val="baseline"/>
        <w:rPr>
          <w:rFonts w:eastAsia="Times New Roman"/>
          <w:color w:val="000000"/>
          <w:sz w:val="24"/>
        </w:rPr>
      </w:pPr>
    </w:p>
    <w:p w14:paraId="5F57686B" w14:textId="677DA46D" w:rsidR="00D241F0" w:rsidRPr="00834B07" w:rsidRDefault="000960C2">
      <w:pPr>
        <w:spacing w:before="282" w:line="274" w:lineRule="exact"/>
        <w:textAlignment w:val="baseline"/>
        <w:rPr>
          <w:rFonts w:eastAsia="Times New Roman"/>
          <w:i/>
          <w:iCs/>
          <w:color w:val="000000"/>
          <w:sz w:val="24"/>
        </w:rPr>
      </w:pPr>
      <w:r w:rsidRPr="00834B07">
        <w:rPr>
          <w:rFonts w:eastAsia="Times New Roman"/>
          <w:i/>
          <w:iCs/>
          <w:color w:val="000000"/>
          <w:sz w:val="24"/>
        </w:rPr>
        <w:t xml:space="preserve">Adopted </w:t>
      </w:r>
      <w:r w:rsidR="00834B07" w:rsidRPr="00834B07">
        <w:rPr>
          <w:rFonts w:eastAsia="Times New Roman"/>
          <w:i/>
          <w:iCs/>
          <w:color w:val="000000"/>
          <w:sz w:val="24"/>
        </w:rPr>
        <w:t>January 13, 2020</w:t>
      </w:r>
    </w:p>
    <w:p w14:paraId="5A19E23B" w14:textId="77777777" w:rsidR="00834B07" w:rsidRPr="00034B80" w:rsidRDefault="00834B07">
      <w:pPr>
        <w:spacing w:before="282" w:line="274" w:lineRule="exact"/>
        <w:textAlignment w:val="baseline"/>
        <w:rPr>
          <w:rFonts w:eastAsia="Times New Roman"/>
          <w:color w:val="000000"/>
          <w:sz w:val="24"/>
        </w:rPr>
      </w:pPr>
    </w:p>
    <w:sectPr w:rsidR="00834B07" w:rsidRPr="00034B80" w:rsidSect="00D241F0">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0E17"/>
    <w:multiLevelType w:val="multilevel"/>
    <w:tmpl w:val="5F98C0C6"/>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56C0157"/>
    <w:multiLevelType w:val="multilevel"/>
    <w:tmpl w:val="21C290BC"/>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EC6DC4"/>
    <w:rsid w:val="00034B80"/>
    <w:rsid w:val="000960C2"/>
    <w:rsid w:val="00153F2C"/>
    <w:rsid w:val="001F2859"/>
    <w:rsid w:val="00240F04"/>
    <w:rsid w:val="002502A8"/>
    <w:rsid w:val="002638F2"/>
    <w:rsid w:val="002E143D"/>
    <w:rsid w:val="00315738"/>
    <w:rsid w:val="006C2E3D"/>
    <w:rsid w:val="007669E6"/>
    <w:rsid w:val="00834B07"/>
    <w:rsid w:val="008C0EBC"/>
    <w:rsid w:val="00A76E18"/>
    <w:rsid w:val="00C26E99"/>
    <w:rsid w:val="00D241F0"/>
    <w:rsid w:val="00E452E3"/>
    <w:rsid w:val="00E84CB9"/>
    <w:rsid w:val="00EC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19A6"/>
  <w15:docId w15:val="{EAEE63B9-3D4A-4368-A6EA-8D2139DE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CA3B3-9FA3-41DF-9D41-BA3173A4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1344</Words>
  <Characters>7664</Characters>
  <Application>Microsoft Office Word</Application>
  <DocSecurity>0</DocSecurity>
  <Lines>63</Lines>
  <Paragraphs>17</Paragraphs>
  <ScaleCrop>false</ScaleCrop>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love</cp:lastModifiedBy>
  <cp:revision>19</cp:revision>
  <dcterms:created xsi:type="dcterms:W3CDTF">2020-01-12T18:00:00Z</dcterms:created>
  <dcterms:modified xsi:type="dcterms:W3CDTF">2020-01-15T00:41:00Z</dcterms:modified>
</cp:coreProperties>
</file>